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568" w:hanging="56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888" w:dyaOrig="1598">
                <v:rect xmlns:o="urn:schemas-microsoft-com:office:office" xmlns:v="urn:schemas-microsoft-com:vml" id="rectole0000000000" style="width:194.400000pt;height:79.9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Актуализация результатов государственной кадастровой оценки земельных участков сельскохозяйственного назначения и земель лесного фонда на территории Курской области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982" w:left="71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со ст. 6, ст. 11 Федерального закона от  03.07.2016            № 237-ФЗ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государственной кадастровой оценке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Закон о кадастровой оценке) государственная кадастровая оценка (далее – ГКО) проводится по решению исполнительного органа государственной власти субъекта Российской Федерации не чаще одного раза в три года и не реже одного раза в пять лет, за исключением проведения внеочередной ГКО. Уполномоченный орган субъекта Российской Федерации наделяет полномочиями, связанными с определением кадастровой стоимости, бюджетное учреждение, созданное субъектом Российской Федерации.</w:t>
      </w:r>
    </w:p>
    <w:p>
      <w:pPr>
        <w:spacing w:before="0" w:after="0" w:line="240"/>
        <w:ind w:right="982" w:left="71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реализации вышеуказанных статей на территории Курской области Распоряжением Администрации Курской области от 13.12.2016            № 442-ра создано областное бюджетное учреждение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Центр государственной кадастровой оценки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Бюджетное учреждение), подведомственное комитету по управлению имуществом Курской области. Определение кадастровой стоимости теперь осуществляется бюджетным учреждением, которое не вправе привлекать иных лиц, помимо работников соответствующего бюджетного учреждения, для проведения работ и (или) оказания услуг непосредственно по определению кадастровой стоимости.</w:t>
      </w:r>
    </w:p>
    <w:p>
      <w:pPr>
        <w:spacing w:before="0" w:after="0" w:line="240"/>
        <w:ind w:right="982" w:left="71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связи с вышеизложенным, Управление Росреестра  по Курской области информирует о том, что в 2018 году, в соответствии с Законом о кадастровой оценке, на основании решения Комитета по управлению имуществом Курской области впервые Бюджетным учреждением проведена ГКО земель сельскохозяйственного назначения и земель лесного фонда, которая утверждена  Решением Администрации Курской области от 24.10.2018 № 01-18/1304. </w:t>
      </w:r>
    </w:p>
    <w:p>
      <w:pPr>
        <w:spacing w:before="0" w:after="0" w:line="240"/>
        <w:ind w:right="982" w:left="71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Отмечаем, что с указанным нормативным правовым актом можно ознакомиться:</w:t>
      </w:r>
    </w:p>
    <w:p>
      <w:pPr>
        <w:numPr>
          <w:ilvl w:val="0"/>
          <w:numId w:val="7"/>
        </w:numPr>
        <w:spacing w:before="0" w:after="0" w:line="240"/>
        <w:ind w:right="982" w:left="71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официальном сайте Администрации Курской области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"http://adm.rkursk.ru/"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"http://adm.rkursk.ru/"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adm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"http://adm.rkursk.ru/"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"http://adm.rkursk.ru/"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rkursk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"http://adm.rkursk.ru/"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"http://adm.rkursk.ru/"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"http://adm.rkursk.ru/"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numPr>
          <w:ilvl w:val="0"/>
          <w:numId w:val="7"/>
        </w:numPr>
        <w:spacing w:before="0" w:after="0" w:line="240"/>
        <w:ind w:right="982" w:left="71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официальном сайте Росреестра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http://www.rosreestr.ru/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numPr>
          <w:ilvl w:val="0"/>
          <w:numId w:val="7"/>
        </w:numPr>
        <w:spacing w:before="0" w:after="0" w:line="240"/>
        <w:ind w:right="982" w:left="71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официальном сайте Бюджетного учреждения</w:t>
      </w:r>
      <w:r>
        <w:rPr>
          <w:rFonts w:ascii="Arial" w:hAnsi="Arial" w:cs="Arial" w:eastAsia="Arial"/>
          <w:color w:val="545454"/>
          <w:spacing w:val="3"/>
          <w:position w:val="0"/>
          <w:sz w:val="21"/>
          <w:shd w:fill="FFFFFF" w:val="clear"/>
        </w:rPr>
        <w:t xml:space="preserve">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http://кадастркурск.рф/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982" w:left="71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 ГКО внесены в Единый государственный реестр недвижимости (далее – ЕГРН) 10.01.2019 и применяются с 01.01.2019.</w:t>
      </w:r>
    </w:p>
    <w:p>
      <w:pPr>
        <w:spacing w:before="0" w:after="0" w:line="240"/>
        <w:ind w:right="982" w:left="71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Обращаем внимание, что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Управление Росреестра по Курской области не проводит государственную кадастровую оценку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объектов недвижимости, а только уполномочено на проведение внесудебного урегулирования споров о результатах определения кадастровой стоимости, соответствии со ст. 24.18 Федерального закона от 29.07.1998 № 135-ФЗ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оценочной деятельности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полученных до вступления в силу Закона о кадастровой оценке (до 01.01.2017).</w:t>
      </w:r>
    </w:p>
    <w:p>
      <w:pPr>
        <w:spacing w:before="0" w:after="0" w:line="240"/>
        <w:ind w:right="982" w:left="71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Кадастровая стоимость, определенная Бюджетным учреждением после  01.01.2017, оспаривается в Комиссии при уполномоченным органе субъекта Российской Федерации на территории соответствующего субъекта Российской Федерации. Кроме того,  в соответствии со ст. 20, 21 Закона о кадастровой оценке  Бюджетное учреждение предоставляет разъяснения, связанные с определением кадастровой стоимости и рассматривает обращения об исправлении ошибок, допущенных при определении кадастровой стоимости.</w:t>
      </w:r>
    </w:p>
    <w:p>
      <w:pPr>
        <w:spacing w:before="0" w:after="0" w:line="240"/>
        <w:ind w:right="982" w:left="71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дополнительной информацией о порядке рассмотрения  споров  о  результатах  определения  кадастровой  стоимости можно ознакомиться:</w:t>
      </w:r>
    </w:p>
    <w:p>
      <w:pPr>
        <w:numPr>
          <w:ilvl w:val="0"/>
          <w:numId w:val="9"/>
        </w:numPr>
        <w:spacing w:before="0" w:after="0" w:line="240"/>
        <w:ind w:right="982" w:left="71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официальном сайте Росреестра: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http://www.rosreestr.ru/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numPr>
          <w:ilvl w:val="0"/>
          <w:numId w:val="9"/>
        </w:numPr>
        <w:spacing w:before="0" w:after="0" w:line="240"/>
        <w:ind w:right="982" w:left="71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телефону: +7 (4712) 52-92-44 отдел землеустройства, мониторинга земель и кадастровой оценки недвижимости Управление Росреестра  по Курской области;</w:t>
      </w:r>
    </w:p>
    <w:p>
      <w:pPr>
        <w:numPr>
          <w:ilvl w:val="0"/>
          <w:numId w:val="9"/>
        </w:numPr>
        <w:spacing w:before="0" w:after="0" w:line="240"/>
        <w:ind w:right="982" w:left="71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официальном сайте Бюджетного учреждения: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http://кадастркурск.рф/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numPr>
          <w:ilvl w:val="0"/>
          <w:numId w:val="9"/>
        </w:numPr>
        <w:spacing w:before="0" w:after="0" w:line="240"/>
        <w:ind w:right="982" w:left="71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телефону: +7 (4712) 44-65-06 Бюджетное учреждение;</w:t>
      </w:r>
    </w:p>
    <w:p>
      <w:pPr>
        <w:numPr>
          <w:ilvl w:val="0"/>
          <w:numId w:val="9"/>
        </w:numPr>
        <w:spacing w:before="0" w:after="0" w:line="240"/>
        <w:ind w:right="982" w:left="71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8-800-100-34-34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ведомственный центр телефонного обслуживания (ВЦТО).</w:t>
      </w:r>
    </w:p>
    <w:p>
      <w:pPr>
        <w:spacing w:before="0" w:after="0" w:line="240"/>
        <w:ind w:right="982" w:left="71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удобства граждан, актуальную кадастровую стоимость объектов недвижимости и дату ее внесения ЕГРН можно узнать, воспользовавшись электронным сервисом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Справочная информация по объектам недвижимости в режиме on-line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официальном сайте Росреестра, а также получив выписку из ЕГРН о кадастровой стоимости объекта недвижимости, заказав одним из удобных способов:</w:t>
      </w:r>
    </w:p>
    <w:p>
      <w:pPr>
        <w:numPr>
          <w:ilvl w:val="0"/>
          <w:numId w:val="13"/>
        </w:numPr>
        <w:spacing w:before="0" w:after="0" w:line="240"/>
        <w:ind w:right="982" w:left="71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официальном сайте Росреестра, заполнив электронную форму; </w:t>
      </w:r>
    </w:p>
    <w:p>
      <w:pPr>
        <w:numPr>
          <w:ilvl w:val="0"/>
          <w:numId w:val="13"/>
        </w:numPr>
        <w:spacing w:before="0" w:after="0" w:line="240"/>
        <w:ind w:right="982" w:left="71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офисе областного бюджетного учреждения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Многофункциональный центр по предоставлению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982" w:left="71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982" w:left="71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982" w:left="71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982" w:left="71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982" w:left="71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982" w:left="71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7">
    <w:abstractNumId w:val="12"/>
  </w:num>
  <w:num w:numId="9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rosreestr.ru/" Id="docRId3" Type="http://schemas.openxmlformats.org/officeDocument/2006/relationships/hyperlink"/><Relationship Target="numbering.xml" Id="docRId7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adm.rkursk.ru/" Id="docRId2" Type="http://schemas.openxmlformats.org/officeDocument/2006/relationships/hyperlink"/><Relationship TargetMode="External" Target="http://&#1082;&#1072;&#1076;&#1072;&#1089;&#1090;&#1088;&#1082;&#1091;&#1088;&#1089;&#1082;.&#1088;&#1092;/" Id="docRId4" Type="http://schemas.openxmlformats.org/officeDocument/2006/relationships/hyperlink"/><Relationship TargetMode="External" Target="http://&#1082;&#1072;&#1076;&#1072;&#1089;&#1090;&#1088;&#1082;&#1091;&#1088;&#1089;&#1082;.&#1088;&#1092;/" Id="docRId6" Type="http://schemas.openxmlformats.org/officeDocument/2006/relationships/hyperlink"/><Relationship Target="styles.xml" Id="docRId8" Type="http://schemas.openxmlformats.org/officeDocument/2006/relationships/styles"/><Relationship Target="media/image0.wmf" Id="docRId1" Type="http://schemas.openxmlformats.org/officeDocument/2006/relationships/image"/><Relationship TargetMode="External" Target="http://www.rosreestr.ru/" Id="docRId5" Type="http://schemas.openxmlformats.org/officeDocument/2006/relationships/hyperlink"/></Relationships>
</file>